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81" w:rsidRPr="00FA3DAE" w:rsidRDefault="00CA1681" w:rsidP="00FA3DAE">
      <w:pPr>
        <w:widowControl w:val="0"/>
        <w:shd w:val="clear" w:color="auto" w:fill="FFFFFF"/>
        <w:suppressAutoHyphens/>
        <w:spacing w:before="24" w:after="0" w:line="254" w:lineRule="exact"/>
        <w:jc w:val="center"/>
        <w:rPr>
          <w:rFonts w:ascii="Arial" w:hAnsi="Arial"/>
          <w:b/>
          <w:i/>
          <w:color w:val="808080"/>
          <w:spacing w:val="-3"/>
          <w:sz w:val="24"/>
          <w:szCs w:val="20"/>
          <w:lang w:eastAsia="ar-SA"/>
        </w:rPr>
      </w:pPr>
      <w:r w:rsidRPr="00FA3DAE">
        <w:rPr>
          <w:rFonts w:ascii="Arial" w:hAnsi="Arial"/>
          <w:b/>
          <w:i/>
          <w:color w:val="808080"/>
          <w:spacing w:val="-3"/>
          <w:sz w:val="24"/>
          <w:szCs w:val="20"/>
          <w:lang w:eastAsia="ar-SA"/>
        </w:rPr>
        <w:t xml:space="preserve">Государственное бюджетное учреждение социального обслуживания населения </w:t>
      </w:r>
    </w:p>
    <w:p w:rsidR="00CA1681" w:rsidRPr="00FA3DAE" w:rsidRDefault="00CA1681" w:rsidP="00FA3DAE">
      <w:pPr>
        <w:widowControl w:val="0"/>
        <w:shd w:val="clear" w:color="auto" w:fill="FFFFFF"/>
        <w:suppressAutoHyphens/>
        <w:spacing w:after="0" w:line="254" w:lineRule="exact"/>
        <w:jc w:val="center"/>
        <w:rPr>
          <w:rFonts w:ascii="Arial" w:hAnsi="Arial"/>
          <w:b/>
          <w:i/>
          <w:color w:val="808080"/>
          <w:spacing w:val="-1"/>
          <w:sz w:val="24"/>
          <w:szCs w:val="20"/>
          <w:lang w:eastAsia="ar-SA"/>
        </w:rPr>
      </w:pPr>
      <w:r w:rsidRPr="00FA3DAE">
        <w:rPr>
          <w:rFonts w:ascii="Arial" w:hAnsi="Arial"/>
          <w:b/>
          <w:i/>
          <w:color w:val="808080"/>
          <w:spacing w:val="-1"/>
          <w:sz w:val="24"/>
          <w:szCs w:val="20"/>
          <w:lang w:eastAsia="ar-SA"/>
        </w:rPr>
        <w:t>«</w:t>
      </w:r>
      <w:r>
        <w:rPr>
          <w:rFonts w:ascii="Arial" w:hAnsi="Arial"/>
          <w:b/>
          <w:i/>
          <w:color w:val="808080"/>
          <w:spacing w:val="-1"/>
          <w:sz w:val="24"/>
          <w:szCs w:val="20"/>
          <w:lang w:eastAsia="ar-SA"/>
        </w:rPr>
        <w:t>Лермонтовский КЦСОН</w:t>
      </w:r>
      <w:r w:rsidRPr="00FA3DAE">
        <w:rPr>
          <w:rFonts w:ascii="Arial" w:hAnsi="Arial"/>
          <w:b/>
          <w:i/>
          <w:color w:val="808080"/>
          <w:spacing w:val="-1"/>
          <w:sz w:val="24"/>
          <w:szCs w:val="20"/>
          <w:lang w:eastAsia="ar-SA"/>
        </w:rPr>
        <w:t>»</w:t>
      </w:r>
    </w:p>
    <w:p w:rsidR="00CA1681" w:rsidRPr="00FA3DAE" w:rsidRDefault="00CA1681" w:rsidP="00FA3DA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hAnsi="Arial"/>
          <w:b/>
          <w:color w:val="808080"/>
          <w:spacing w:val="-2"/>
          <w:sz w:val="24"/>
          <w:szCs w:val="20"/>
          <w:u w:val="single"/>
          <w:lang w:eastAsia="ar-SA"/>
        </w:rPr>
      </w:pPr>
    </w:p>
    <w:tbl>
      <w:tblPr>
        <w:tblW w:w="0" w:type="auto"/>
        <w:tblInd w:w="108" w:type="dxa"/>
        <w:tblBorders>
          <w:top w:val="double" w:sz="2" w:space="0" w:color="000000"/>
        </w:tblBorders>
        <w:tblLayout w:type="fixed"/>
        <w:tblLook w:val="0000"/>
      </w:tblPr>
      <w:tblGrid>
        <w:gridCol w:w="9352"/>
      </w:tblGrid>
      <w:tr w:rsidR="00CA1681" w:rsidRPr="003A4823" w:rsidTr="00BB76B2">
        <w:trPr>
          <w:trHeight w:val="40"/>
        </w:trPr>
        <w:tc>
          <w:tcPr>
            <w:tcW w:w="9352" w:type="dxa"/>
            <w:tcBorders>
              <w:top w:val="double" w:sz="2" w:space="0" w:color="000000"/>
            </w:tcBorders>
          </w:tcPr>
          <w:p w:rsidR="00CA1681" w:rsidRPr="00FA3DAE" w:rsidRDefault="00CA1681" w:rsidP="00FA3D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hAnsi="Arial"/>
                <w:b/>
                <w:sz w:val="24"/>
                <w:szCs w:val="20"/>
                <w:lang w:eastAsia="ar-SA"/>
              </w:rPr>
            </w:pPr>
          </w:p>
        </w:tc>
      </w:tr>
    </w:tbl>
    <w:p w:rsidR="00CA1681" w:rsidRPr="00FA3DAE" w:rsidRDefault="00CA1681" w:rsidP="00FA3DA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A1681" w:rsidRPr="00FA3DAE" w:rsidRDefault="00CA1681" w:rsidP="00FA3DA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79-ОД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 об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утверждении учетной политики для целей бухгалтерского учета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487"/>
        <w:gridCol w:w="7559"/>
      </w:tblGrid>
      <w:tr w:rsidR="00CA1681" w:rsidRPr="003A4823" w:rsidTr="00BB76B2">
        <w:tc>
          <w:tcPr>
            <w:tcW w:w="0" w:type="auto"/>
            <w:noWrap/>
          </w:tcPr>
          <w:p w:rsidR="00CA1681" w:rsidRPr="00FA3DAE" w:rsidRDefault="00CA1681" w:rsidP="00FA3DA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г.Лермонтов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  </w:t>
            </w:r>
          </w:p>
        </w:tc>
        <w:tc>
          <w:tcPr>
            <w:tcW w:w="0" w:type="auto"/>
            <w:noWrap/>
          </w:tcPr>
          <w:p w:rsidR="00CA1681" w:rsidRPr="00FA3DAE" w:rsidRDefault="00CA1681" w:rsidP="00FA3DA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                                                                                                       30.12.2025 г.</w:t>
            </w:r>
          </w:p>
        </w:tc>
      </w:tr>
    </w:tbl>
    <w:p w:rsidR="00CA1681" w:rsidRPr="00FA3DAE" w:rsidRDefault="00CA1681" w:rsidP="00FA3D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Во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исполнение Закона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06.12.2011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402-ФЗ, Федерального стандарта «Учетная политика, оценочные значения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ошибки» (утв. приказом Минфина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30.12.2017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274н),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Федерального стандарта «Единый план счетов бухгалтерского учета государственных финансов», утвержденного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Минфина от 30.08.2024 № 121н</w:t>
      </w:r>
    </w:p>
    <w:p w:rsidR="00CA1681" w:rsidRPr="00FA3DAE" w:rsidRDefault="00CA1681" w:rsidP="00FA3D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ПРИКАЗЫВАЮ:</w:t>
      </w:r>
    </w:p>
    <w:p w:rsidR="00CA1681" w:rsidRPr="00FA3DAE" w:rsidRDefault="00CA1681" w:rsidP="00FA3D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Внести изменения в учетную политику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целей бухгалтерского учета, утвержденную приказом от 11.01.2021 № 2/2, утвердив ее новую редакцию согласно приложению, и ввести в действие с 01.01.2026.</w:t>
      </w:r>
    </w:p>
    <w:p w:rsidR="00CA1681" w:rsidRPr="00FA3DAE" w:rsidRDefault="00CA1681" w:rsidP="00FA3D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Довести до всех подразделений и служб учреждения соответствующие документы, необходимые для обеспечения реализации учетной политики в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учреждении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бухгалтерского учета, документооборота, санкционирования расходов учреждения.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Опубликовать основные положения учетной политики в новой редакции с учетом изменений на официальном сайте учреждения в течение 10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рабочих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дней с даты утверждения.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Контроль за исполнением приказа возложить на главного бухгалтера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Лучкину М.А.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5"/>
        <w:gridCol w:w="320"/>
        <w:gridCol w:w="80"/>
        <w:gridCol w:w="320"/>
        <w:gridCol w:w="5875"/>
      </w:tblGrid>
      <w:tr w:rsidR="00CA1681" w:rsidRPr="003A4823" w:rsidTr="00BB76B2">
        <w:tc>
          <w:tcPr>
            <w:tcW w:w="1495" w:type="dxa"/>
            <w:noWrap/>
          </w:tcPr>
          <w:p w:rsidR="00CA1681" w:rsidRPr="00FA3DAE" w:rsidRDefault="00CA1681" w:rsidP="00FA3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dxa"/>
            <w:noWrap/>
          </w:tcPr>
          <w:p w:rsidR="00CA1681" w:rsidRPr="00FA3DAE" w:rsidRDefault="00CA1681" w:rsidP="00FA3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    </w:t>
            </w:r>
          </w:p>
        </w:tc>
        <w:tc>
          <w:tcPr>
            <w:tcW w:w="80" w:type="dxa"/>
            <w:noWrap/>
          </w:tcPr>
          <w:p w:rsidR="00CA1681" w:rsidRPr="00FA3DAE" w:rsidRDefault="00CA1681" w:rsidP="00FA3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dxa"/>
            <w:noWrap/>
          </w:tcPr>
          <w:p w:rsidR="00CA1681" w:rsidRPr="00FA3DAE" w:rsidRDefault="00CA1681" w:rsidP="00FA3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    </w:t>
            </w:r>
          </w:p>
        </w:tc>
        <w:tc>
          <w:tcPr>
            <w:tcW w:w="5875" w:type="dxa"/>
            <w:noWrap/>
          </w:tcPr>
          <w:p w:rsidR="00CA1681" w:rsidRPr="0054031E" w:rsidRDefault="00CA1681" w:rsidP="0054031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Курбацкая Т.Н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</w:p>
    <w:p w:rsidR="00CA1681" w:rsidRPr="00FA3DAE" w:rsidRDefault="00CA1681" w:rsidP="00FA3DAE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721"/>
      </w:tblGrid>
      <w:tr w:rsidR="00CA1681" w:rsidRPr="003A4823" w:rsidTr="00BB76B2">
        <w:tc>
          <w:tcPr>
            <w:tcW w:w="0" w:type="auto"/>
            <w:noWrap/>
          </w:tcPr>
          <w:p w:rsidR="00CA1681" w:rsidRPr="00FA3DAE" w:rsidRDefault="00CA1681" w:rsidP="005403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к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приказу от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30.12.2025 г.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79-ОД</w:t>
            </w:r>
            <w:bookmarkStart w:id="0" w:name="_GoBack"/>
            <w:bookmarkEnd w:id="0"/>
            <w:r w:rsidRPr="00FA3D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Учетная</w:t>
      </w:r>
      <w:r w:rsidRPr="00FA3DAE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политика для целей бухгалтерского учета</w:t>
      </w:r>
    </w:p>
    <w:p w:rsidR="00CA1681" w:rsidRPr="00FA3DAE" w:rsidRDefault="00CA1681" w:rsidP="00FA3DA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</w:p>
    <w:p w:rsidR="00CA1681" w:rsidRPr="00FA3DAE" w:rsidRDefault="00CA1681" w:rsidP="00FA3D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Учетная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политика ГБ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«Лермонтовский КЦСОН»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учреждение) разработана в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соответствии: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с приказом Минфина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 (далее — СГС «Единый план счетов» № 121н);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Минфина от 20.09.2024 № 133н «Об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учреждений"» (далее — СГС «План счетов бухгалтерского учета» № 133);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Минфина от 24.05.2022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82н «О Порядке формирования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применения кодов бюджетной классификации Российской Федерации, их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структуре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принципах назначения»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приказ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82н);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Минфина от 29.11.2017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209н «Об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утверждении Порядка применения классификации операций сектора государственного управления»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приказ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209н);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Минфина от 30.03.2015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52н «Об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утверждении форм первичных учетных документов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Методических указаний по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их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применению» 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(далее — приказ № 52н);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приказом Минфина от 15.04.2021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61н «Об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Методических указаний по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их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формированию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применению» 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(далее — приказ № 61н);</w:t>
      </w:r>
    </w:p>
    <w:p w:rsidR="00CA1681" w:rsidRPr="00FA3DAE" w:rsidRDefault="00CA1681" w:rsidP="00FA3D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федеральными стандартами бухгалтерского учета государственных финансов, утвержденными приказами Минфина от 31.12.2016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256н, 257н, 258н, 259н, 260н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соответственно СГС «Концептуальные основы бухучета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30.12.2017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274н, 275н, 277н, 278н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соответственно СГС «Учетная политика, оценочные значения и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ошибки», СГС «События после отчетной даты», СГС «Информация 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связанных сторонах», СГС «Отчет 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движении денежных средств»),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27.02.2018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32н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СГС «Доходы»),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28.02.2018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34н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СГС «Непроизведенные активы»),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30.05.2018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122н, 124н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соответственно СГС «Влияние изменений курсов иностранных валют», СГС «Резервы»),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07.12.2018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256н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СГС «Запасы»),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29.06.2018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145н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СГС «Долгосрочные договоры»),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15.11.2019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181н, 182н, 183н, 184н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соответственно СГС «Нематериальные активы», СГС «Затраты по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заимствованиям», СГС «Совместная деятельность», СГС «Выплаты персоналу»), от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30.06.2020 №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129н (далее</w:t>
      </w:r>
      <w:r w:rsidRPr="00FA3DAE"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FA3DAE">
        <w:rPr>
          <w:rFonts w:ascii="Times New Roman" w:hAnsi="Times New Roman"/>
          <w:color w:val="000000"/>
          <w:sz w:val="24"/>
          <w:szCs w:val="24"/>
          <w:lang w:eastAsia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:rsidR="00CA1681" w:rsidRPr="00FA3DAE" w:rsidRDefault="00CA1681" w:rsidP="00FA3DA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A1681" w:rsidRDefault="00CA1681"/>
    <w:sectPr w:rsidR="00CA1681" w:rsidSect="0090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363698"/>
    <w:multiLevelType w:val="hybridMultilevel"/>
    <w:tmpl w:val="0E3EC3F2"/>
    <w:lvl w:ilvl="0" w:tplc="BCB62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2EA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FAF1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4F4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CACFFC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FE50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E6C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2C6BA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E28F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65A887B"/>
    <w:multiLevelType w:val="multilevel"/>
    <w:tmpl w:val="3336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42F"/>
    <w:rsid w:val="001816D5"/>
    <w:rsid w:val="001B042F"/>
    <w:rsid w:val="003A4823"/>
    <w:rsid w:val="0054031E"/>
    <w:rsid w:val="007D61A7"/>
    <w:rsid w:val="00904BFB"/>
    <w:rsid w:val="00BB76B2"/>
    <w:rsid w:val="00CA1681"/>
    <w:rsid w:val="00DA55BE"/>
    <w:rsid w:val="00FA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661</Words>
  <Characters>3771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социального обслуживания населения </dc:title>
  <dc:subject/>
  <dc:creator>User</dc:creator>
  <cp:keywords/>
  <dc:description/>
  <cp:lastModifiedBy>M04</cp:lastModifiedBy>
  <cp:revision>2</cp:revision>
  <cp:lastPrinted>2026-01-16T07:51:00Z</cp:lastPrinted>
  <dcterms:created xsi:type="dcterms:W3CDTF">2026-01-16T08:19:00Z</dcterms:created>
  <dcterms:modified xsi:type="dcterms:W3CDTF">2026-01-16T08:19:00Z</dcterms:modified>
</cp:coreProperties>
</file>